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CECB0" w14:textId="47F56DDF" w:rsidR="00FB3E9D" w:rsidRPr="00BF23F6" w:rsidRDefault="00BF23F6" w:rsidP="00BF23F6">
      <w:pPr>
        <w:pStyle w:val="Heading1"/>
        <w:numPr>
          <w:ilvl w:val="0"/>
          <w:numId w:val="0"/>
        </w:numPr>
        <w:spacing w:before="120"/>
        <w:jc w:val="center"/>
        <w:rPr>
          <w:rFonts w:asciiTheme="minorHAnsi" w:hAnsiTheme="minorHAnsi"/>
          <w:i w:val="0"/>
          <w:iCs/>
          <w:sz w:val="28"/>
          <w:szCs w:val="28"/>
        </w:rPr>
      </w:pPr>
      <w:r w:rsidRPr="00BF23F6">
        <w:rPr>
          <w:rFonts w:asciiTheme="minorHAnsi" w:hAnsiTheme="minorHAnsi" w:cs="Arial"/>
          <w:i w:val="0"/>
          <w:iCs/>
          <w:sz w:val="28"/>
          <w:szCs w:val="28"/>
        </w:rPr>
        <w:t xml:space="preserve">10.2 </w:t>
      </w:r>
      <w:r w:rsidR="00FB3E9D" w:rsidRPr="00BF23F6">
        <w:rPr>
          <w:rFonts w:asciiTheme="minorHAnsi" w:hAnsiTheme="minorHAnsi" w:cs="Arial"/>
          <w:i w:val="0"/>
          <w:iCs/>
          <w:sz w:val="28"/>
          <w:szCs w:val="28"/>
        </w:rPr>
        <w:t>NON-CONFORMANCE AND CORRECTIVE ACTION</w:t>
      </w:r>
    </w:p>
    <w:p w14:paraId="50C4C0E6" w14:textId="77777777" w:rsidR="00FB3E9D" w:rsidRDefault="00FB3E9D" w:rsidP="007C6598">
      <w:pPr>
        <w:pStyle w:val="Heading1"/>
        <w:numPr>
          <w:ilvl w:val="0"/>
          <w:numId w:val="0"/>
        </w:numPr>
        <w:spacing w:before="120"/>
        <w:rPr>
          <w:rFonts w:asciiTheme="minorHAnsi" w:hAnsiTheme="minorHAnsi"/>
          <w:sz w:val="22"/>
          <w:szCs w:val="22"/>
        </w:rPr>
      </w:pPr>
    </w:p>
    <w:p w14:paraId="62466DB1" w14:textId="0B90E598" w:rsidR="007C6598" w:rsidRPr="00150D66" w:rsidRDefault="007C6598" w:rsidP="007C6598">
      <w:pPr>
        <w:pStyle w:val="Heading1"/>
        <w:numPr>
          <w:ilvl w:val="0"/>
          <w:numId w:val="0"/>
        </w:numPr>
        <w:spacing w:before="12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>1.  PURPOSE</w:t>
      </w:r>
    </w:p>
    <w:p w14:paraId="42EB1790" w14:textId="2D8C5F28" w:rsidR="007C6598" w:rsidRPr="00150D66" w:rsidRDefault="007C6598" w:rsidP="007C6598">
      <w:pPr>
        <w:spacing w:before="120" w:line="360" w:lineRule="auto"/>
        <w:rPr>
          <w:rFonts w:asciiTheme="minorHAnsi" w:hAnsiTheme="minorHAnsi"/>
          <w:sz w:val="22"/>
          <w:szCs w:val="22"/>
        </w:rPr>
      </w:pPr>
      <w:bookmarkStart w:id="0" w:name="_Toc195421003"/>
      <w:bookmarkStart w:id="1" w:name="_Toc195422556"/>
      <w:bookmarkStart w:id="2" w:name="_Toc195503220"/>
      <w:bookmarkStart w:id="3" w:name="_Toc195503399"/>
      <w:bookmarkStart w:id="4" w:name="_Toc199230400"/>
      <w:r w:rsidRPr="00150D66">
        <w:rPr>
          <w:rFonts w:asciiTheme="minorHAnsi" w:hAnsiTheme="minorHAnsi"/>
          <w:sz w:val="22"/>
          <w:szCs w:val="22"/>
        </w:rPr>
        <w:t>This standard defines the process used to ensure that H</w:t>
      </w:r>
      <w:r>
        <w:rPr>
          <w:rFonts w:asciiTheme="minorHAnsi" w:hAnsiTheme="minorHAnsi"/>
          <w:sz w:val="22"/>
          <w:szCs w:val="22"/>
        </w:rPr>
        <w:t>ealth Safety</w:t>
      </w:r>
      <w:r w:rsidRPr="00150D66">
        <w:rPr>
          <w:rFonts w:asciiTheme="minorHAnsi" w:hAnsiTheme="minorHAnsi"/>
          <w:sz w:val="22"/>
          <w:szCs w:val="22"/>
        </w:rPr>
        <w:t xml:space="preserve"> non-conformities </w:t>
      </w:r>
      <w:r w:rsidR="0097326B">
        <w:rPr>
          <w:rFonts w:asciiTheme="minorHAnsi" w:hAnsiTheme="minorHAnsi"/>
          <w:sz w:val="22"/>
          <w:szCs w:val="22"/>
        </w:rPr>
        <w:t>(NC)</w:t>
      </w:r>
      <w:r w:rsidRPr="00150D66">
        <w:rPr>
          <w:rFonts w:asciiTheme="minorHAnsi" w:hAnsiTheme="minorHAnsi"/>
          <w:sz w:val="22"/>
          <w:szCs w:val="22"/>
        </w:rPr>
        <w:t xml:space="preserve">are reported effectively and appropriate corrective and preventive actions </w:t>
      </w:r>
      <w:r w:rsidR="0097326B">
        <w:rPr>
          <w:rFonts w:asciiTheme="minorHAnsi" w:hAnsiTheme="minorHAnsi"/>
          <w:sz w:val="22"/>
          <w:szCs w:val="22"/>
        </w:rPr>
        <w:t xml:space="preserve">(CA) </w:t>
      </w:r>
      <w:r w:rsidRPr="00150D66">
        <w:rPr>
          <w:rFonts w:asciiTheme="minorHAnsi" w:hAnsiTheme="minorHAnsi"/>
          <w:sz w:val="22"/>
          <w:szCs w:val="22"/>
        </w:rPr>
        <w:t xml:space="preserve">taken to reduce any future risk of occurrence. </w:t>
      </w:r>
    </w:p>
    <w:p w14:paraId="4FF3B73E" w14:textId="77777777" w:rsidR="007C6598" w:rsidRPr="00150D66" w:rsidRDefault="007C6598" w:rsidP="007C6598">
      <w:pPr>
        <w:pStyle w:val="Heading1"/>
        <w:numPr>
          <w:ilvl w:val="0"/>
          <w:numId w:val="0"/>
        </w:numPr>
        <w:spacing w:before="120"/>
        <w:rPr>
          <w:rFonts w:asciiTheme="minorHAnsi" w:hAnsiTheme="minorHAnsi"/>
          <w:sz w:val="22"/>
          <w:szCs w:val="22"/>
        </w:rPr>
      </w:pPr>
      <w:bookmarkStart w:id="5" w:name="_Toc207432527"/>
      <w:r w:rsidRPr="00150D66">
        <w:rPr>
          <w:rFonts w:asciiTheme="minorHAnsi" w:hAnsiTheme="minorHAnsi"/>
          <w:sz w:val="22"/>
          <w:szCs w:val="22"/>
        </w:rPr>
        <w:t>2. SCOP</w:t>
      </w:r>
      <w:bookmarkEnd w:id="0"/>
      <w:bookmarkEnd w:id="1"/>
      <w:r w:rsidRPr="00150D66">
        <w:rPr>
          <w:rFonts w:asciiTheme="minorHAnsi" w:hAnsiTheme="minorHAnsi"/>
          <w:sz w:val="22"/>
          <w:szCs w:val="22"/>
        </w:rPr>
        <w:t>E</w:t>
      </w:r>
      <w:bookmarkEnd w:id="2"/>
      <w:bookmarkEnd w:id="3"/>
      <w:bookmarkEnd w:id="4"/>
      <w:bookmarkEnd w:id="5"/>
      <w:r w:rsidRPr="00150D66">
        <w:rPr>
          <w:rFonts w:asciiTheme="minorHAnsi" w:hAnsiTheme="minorHAnsi"/>
          <w:sz w:val="22"/>
          <w:szCs w:val="22"/>
        </w:rPr>
        <w:t xml:space="preserve"> </w:t>
      </w:r>
    </w:p>
    <w:p w14:paraId="53C9ADBF" w14:textId="2C2C63AB" w:rsidR="007C6598" w:rsidRPr="00150D66" w:rsidRDefault="007C6598" w:rsidP="007C6598">
      <w:pPr>
        <w:spacing w:before="12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This policy applies to all employees, contractors and visitors </w:t>
      </w:r>
      <w:r>
        <w:rPr>
          <w:rFonts w:asciiTheme="minorHAnsi" w:hAnsiTheme="minorHAnsi"/>
          <w:sz w:val="22"/>
          <w:szCs w:val="22"/>
        </w:rPr>
        <w:t>to</w:t>
      </w:r>
      <w:r w:rsidRPr="00150D6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Titan</w:t>
      </w:r>
      <w:r w:rsidRPr="00150D66">
        <w:rPr>
          <w:rFonts w:asciiTheme="minorHAnsi" w:hAnsiTheme="minorHAnsi"/>
          <w:sz w:val="22"/>
          <w:szCs w:val="22"/>
        </w:rPr>
        <w:t xml:space="preserve"> Drilling’s premises and sites. </w:t>
      </w:r>
    </w:p>
    <w:p w14:paraId="7B1B6BA0" w14:textId="77777777" w:rsidR="007C6598" w:rsidRPr="00150D66" w:rsidRDefault="007C6598" w:rsidP="007C6598">
      <w:pPr>
        <w:rPr>
          <w:rFonts w:asciiTheme="minorHAnsi" w:hAnsiTheme="minorHAnsi"/>
          <w:sz w:val="22"/>
          <w:szCs w:val="22"/>
        </w:rPr>
      </w:pPr>
    </w:p>
    <w:p w14:paraId="65FCC0E6" w14:textId="77777777" w:rsidR="007C6598" w:rsidRPr="00150D66" w:rsidRDefault="007C6598" w:rsidP="007C6598">
      <w:pPr>
        <w:pStyle w:val="Heading1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6" w:name="_Toc195421004"/>
      <w:bookmarkStart w:id="7" w:name="_Toc195422557"/>
      <w:bookmarkStart w:id="8" w:name="_Toc195503221"/>
      <w:bookmarkStart w:id="9" w:name="_Toc195503400"/>
      <w:bookmarkStart w:id="10" w:name="_Toc199230401"/>
      <w:bookmarkStart w:id="11" w:name="_Toc207432528"/>
      <w:r w:rsidRPr="00150D66">
        <w:rPr>
          <w:rFonts w:asciiTheme="minorHAnsi" w:hAnsiTheme="minorHAnsi"/>
          <w:sz w:val="22"/>
          <w:szCs w:val="22"/>
        </w:rPr>
        <w:t>3. PROCEDURE</w:t>
      </w:r>
      <w:bookmarkEnd w:id="6"/>
      <w:bookmarkEnd w:id="7"/>
      <w:bookmarkEnd w:id="8"/>
      <w:bookmarkEnd w:id="9"/>
      <w:bookmarkEnd w:id="10"/>
      <w:bookmarkEnd w:id="11"/>
      <w:r w:rsidRPr="00150D66">
        <w:rPr>
          <w:rFonts w:asciiTheme="minorHAnsi" w:hAnsiTheme="minorHAnsi"/>
          <w:sz w:val="22"/>
          <w:szCs w:val="22"/>
        </w:rPr>
        <w:t xml:space="preserve"> </w:t>
      </w:r>
    </w:p>
    <w:p w14:paraId="2C81276D" w14:textId="77777777" w:rsidR="007C6598" w:rsidRPr="00150D66" w:rsidRDefault="007C6598" w:rsidP="007C6598">
      <w:pPr>
        <w:rPr>
          <w:rFonts w:asciiTheme="minorHAnsi" w:hAnsiTheme="minorHAnsi"/>
          <w:sz w:val="22"/>
          <w:szCs w:val="22"/>
        </w:rPr>
      </w:pPr>
    </w:p>
    <w:p w14:paraId="71D23B57" w14:textId="1BF5C5D5" w:rsidR="007C6598" w:rsidRPr="00150D66" w:rsidRDefault="003C119A" w:rsidP="007C6598">
      <w:pPr>
        <w:pStyle w:val="Heading2"/>
        <w:rPr>
          <w:rFonts w:asciiTheme="minorHAnsi" w:hAnsiTheme="minorHAnsi"/>
          <w:sz w:val="22"/>
          <w:szCs w:val="22"/>
        </w:rPr>
      </w:pPr>
      <w:bookmarkStart w:id="12" w:name="_Toc207432529"/>
      <w:r w:rsidRPr="00150D66">
        <w:rPr>
          <w:rFonts w:asciiTheme="minorHAnsi" w:hAnsiTheme="minorHAnsi"/>
          <w:sz w:val="22"/>
          <w:szCs w:val="22"/>
        </w:rPr>
        <w:t>3.1 Identification</w:t>
      </w:r>
      <w:r w:rsidR="007C6598" w:rsidRPr="00150D66">
        <w:rPr>
          <w:rFonts w:asciiTheme="minorHAnsi" w:hAnsiTheme="minorHAnsi"/>
          <w:sz w:val="22"/>
          <w:szCs w:val="22"/>
        </w:rPr>
        <w:t xml:space="preserve"> and Reporting of Nonconformities</w:t>
      </w:r>
      <w:bookmarkEnd w:id="12"/>
      <w:r w:rsidR="007C6598" w:rsidRPr="00150D66">
        <w:rPr>
          <w:rFonts w:asciiTheme="minorHAnsi" w:hAnsiTheme="minorHAnsi"/>
          <w:sz w:val="22"/>
          <w:szCs w:val="22"/>
        </w:rPr>
        <w:t xml:space="preserve"> </w:t>
      </w:r>
    </w:p>
    <w:p w14:paraId="293B6208" w14:textId="77777777" w:rsidR="007C6598" w:rsidRPr="00150D66" w:rsidRDefault="007C6598" w:rsidP="007C6598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662C9642" w14:textId="77777777" w:rsidR="007C6598" w:rsidRPr="00150D66" w:rsidRDefault="007C6598" w:rsidP="007C6598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>3.1.</w:t>
      </w:r>
      <w:r>
        <w:rPr>
          <w:rFonts w:asciiTheme="minorHAnsi" w:hAnsiTheme="minorHAnsi"/>
          <w:sz w:val="22"/>
          <w:szCs w:val="22"/>
        </w:rPr>
        <w:t>1</w:t>
      </w:r>
      <w:r w:rsidRPr="00150D66">
        <w:rPr>
          <w:rFonts w:asciiTheme="minorHAnsi" w:hAnsiTheme="minorHAnsi"/>
          <w:sz w:val="22"/>
          <w:szCs w:val="22"/>
        </w:rPr>
        <w:t xml:space="preserve"> </w:t>
      </w:r>
      <w:r w:rsidRPr="00150D66">
        <w:rPr>
          <w:rFonts w:asciiTheme="minorHAnsi" w:hAnsiTheme="minorHAnsi"/>
          <w:sz w:val="22"/>
          <w:szCs w:val="22"/>
        </w:rPr>
        <w:tab/>
        <w:t xml:space="preserve">Nonconformity can include any of the following: </w:t>
      </w:r>
    </w:p>
    <w:p w14:paraId="578D5B82" w14:textId="77777777" w:rsidR="007C6598" w:rsidRPr="00150D66" w:rsidRDefault="007C6598" w:rsidP="007C6598">
      <w:pPr>
        <w:numPr>
          <w:ilvl w:val="0"/>
          <w:numId w:val="30"/>
        </w:numPr>
        <w:tabs>
          <w:tab w:val="clear" w:pos="1440"/>
          <w:tab w:val="num" w:pos="180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Deviation from system procedures </w:t>
      </w:r>
    </w:p>
    <w:p w14:paraId="64FC7BE4" w14:textId="77777777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Deviation from operational controls </w:t>
      </w:r>
    </w:p>
    <w:p w14:paraId="4529C8B9" w14:textId="77777777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Sub-standard performance or conditions </w:t>
      </w:r>
    </w:p>
    <w:p w14:paraId="6F063473" w14:textId="40F931D1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An </w:t>
      </w:r>
      <w:r>
        <w:rPr>
          <w:rFonts w:asciiTheme="minorHAnsi" w:hAnsiTheme="minorHAnsi"/>
          <w:sz w:val="22"/>
          <w:szCs w:val="22"/>
        </w:rPr>
        <w:t>omission to legal regulations</w:t>
      </w:r>
    </w:p>
    <w:p w14:paraId="5C171869" w14:textId="77777777" w:rsidR="007C6598" w:rsidRPr="00150D66" w:rsidRDefault="007C6598" w:rsidP="007C6598">
      <w:pPr>
        <w:ind w:left="720"/>
        <w:rPr>
          <w:rFonts w:asciiTheme="minorHAnsi" w:hAnsiTheme="minorHAnsi"/>
          <w:sz w:val="22"/>
          <w:szCs w:val="22"/>
        </w:rPr>
      </w:pPr>
    </w:p>
    <w:p w14:paraId="7D105F10" w14:textId="46D130A1" w:rsidR="007C6598" w:rsidRPr="007C6598" w:rsidRDefault="007C6598" w:rsidP="007C6598">
      <w:pPr>
        <w:pStyle w:val="ListParagraph"/>
        <w:spacing w:line="360" w:lineRule="auto"/>
      </w:pPr>
      <w:r w:rsidRPr="007C6598">
        <w:t xml:space="preserve">3.1.2 Nonconformities referred to in this procedure can arise from any of the following: </w:t>
      </w:r>
    </w:p>
    <w:p w14:paraId="781BF0BB" w14:textId="148262D2" w:rsidR="007C6598" w:rsidRDefault="006E33FB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7C6598" w:rsidRPr="00150D66">
        <w:rPr>
          <w:rFonts w:asciiTheme="minorHAnsi" w:hAnsiTheme="minorHAnsi"/>
          <w:sz w:val="22"/>
          <w:szCs w:val="22"/>
        </w:rPr>
        <w:t xml:space="preserve">ncidents, accidents and near misses </w:t>
      </w:r>
    </w:p>
    <w:p w14:paraId="6915C3BD" w14:textId="59C6B790" w:rsidR="006E33FB" w:rsidRPr="00150D66" w:rsidRDefault="006E33FB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Hazard reports</w:t>
      </w:r>
    </w:p>
    <w:p w14:paraId="62EF22F4" w14:textId="77777777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Site/workplace inspections </w:t>
      </w:r>
    </w:p>
    <w:p w14:paraId="0B1CCF93" w14:textId="77777777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Health and Safety Committee meetings </w:t>
      </w:r>
    </w:p>
    <w:p w14:paraId="6B53E136" w14:textId="08E0F013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</w:t>
      </w:r>
      <w:r w:rsidRPr="00150D66">
        <w:rPr>
          <w:rFonts w:asciiTheme="minorHAnsi" w:hAnsiTheme="minorHAnsi"/>
          <w:sz w:val="22"/>
          <w:szCs w:val="22"/>
        </w:rPr>
        <w:t>omplaints</w:t>
      </w:r>
      <w:r>
        <w:rPr>
          <w:rFonts w:asciiTheme="minorHAnsi" w:hAnsiTheme="minorHAnsi"/>
          <w:sz w:val="22"/>
          <w:szCs w:val="22"/>
        </w:rPr>
        <w:t xml:space="preserve"> from interested parties</w:t>
      </w:r>
    </w:p>
    <w:p w14:paraId="0BF3D845" w14:textId="77777777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Audit findings </w:t>
      </w:r>
    </w:p>
    <w:p w14:paraId="24BC8817" w14:textId="77777777" w:rsidR="007C6598" w:rsidRPr="00150D66" w:rsidRDefault="007C6598" w:rsidP="007C6598">
      <w:pPr>
        <w:numPr>
          <w:ilvl w:val="0"/>
          <w:numId w:val="30"/>
        </w:numPr>
        <w:tabs>
          <w:tab w:val="num" w:pos="1080"/>
        </w:tabs>
        <w:spacing w:line="360" w:lineRule="auto"/>
        <w:ind w:left="2160" w:firstLine="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 xml:space="preserve">Customer feedback </w:t>
      </w:r>
    </w:p>
    <w:p w14:paraId="574746EB" w14:textId="77777777" w:rsidR="007C6598" w:rsidRPr="00150D66" w:rsidRDefault="007C6598" w:rsidP="007C6598">
      <w:pPr>
        <w:pStyle w:val="Heading2"/>
        <w:rPr>
          <w:rFonts w:asciiTheme="minorHAnsi" w:hAnsiTheme="minorHAnsi"/>
          <w:sz w:val="22"/>
          <w:szCs w:val="22"/>
        </w:rPr>
      </w:pPr>
      <w:bookmarkStart w:id="13" w:name="_Toc207432530"/>
    </w:p>
    <w:bookmarkEnd w:id="13"/>
    <w:p w14:paraId="64788F65" w14:textId="133D3A64" w:rsidR="007C6598" w:rsidRPr="00150D66" w:rsidRDefault="004D6F5D" w:rsidP="004D6F5D">
      <w:pPr>
        <w:pStyle w:val="Heading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3.2 </w:t>
      </w:r>
      <w:r w:rsidR="0097326B">
        <w:rPr>
          <w:rFonts w:asciiTheme="minorHAnsi" w:hAnsiTheme="minorHAnsi"/>
          <w:sz w:val="22"/>
          <w:szCs w:val="22"/>
        </w:rPr>
        <w:t>Drawing up Corrective Actions</w:t>
      </w:r>
      <w:r w:rsidR="007C6598" w:rsidRPr="00150D66">
        <w:rPr>
          <w:rFonts w:asciiTheme="minorHAnsi" w:hAnsiTheme="minorHAnsi"/>
          <w:sz w:val="22"/>
          <w:szCs w:val="22"/>
        </w:rPr>
        <w:t xml:space="preserve"> </w:t>
      </w:r>
    </w:p>
    <w:p w14:paraId="0021F05C" w14:textId="77777777" w:rsidR="007C6598" w:rsidRPr="00150D66" w:rsidRDefault="007C6598" w:rsidP="007C6598">
      <w:pPr>
        <w:rPr>
          <w:rFonts w:asciiTheme="minorHAnsi" w:hAnsiTheme="minorHAnsi"/>
          <w:sz w:val="22"/>
          <w:szCs w:val="22"/>
        </w:rPr>
      </w:pPr>
    </w:p>
    <w:p w14:paraId="310EA4A8" w14:textId="33E71461" w:rsidR="007C6598" w:rsidRDefault="007C6598" w:rsidP="007C6598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  <w:r w:rsidRPr="00150D66">
        <w:rPr>
          <w:rFonts w:asciiTheme="minorHAnsi" w:hAnsiTheme="minorHAnsi"/>
          <w:sz w:val="22"/>
          <w:szCs w:val="22"/>
        </w:rPr>
        <w:t>3.</w:t>
      </w:r>
      <w:r w:rsidR="004D6F5D">
        <w:rPr>
          <w:rFonts w:asciiTheme="minorHAnsi" w:hAnsiTheme="minorHAnsi"/>
          <w:sz w:val="22"/>
          <w:szCs w:val="22"/>
        </w:rPr>
        <w:t>2.1</w:t>
      </w:r>
      <w:r w:rsidRPr="00150D66">
        <w:rPr>
          <w:rFonts w:asciiTheme="minorHAnsi" w:hAnsiTheme="minorHAnsi"/>
          <w:sz w:val="22"/>
          <w:szCs w:val="22"/>
        </w:rPr>
        <w:t xml:space="preserve"> </w:t>
      </w:r>
      <w:r w:rsidRPr="00150D66">
        <w:rPr>
          <w:rFonts w:asciiTheme="minorHAnsi" w:hAnsiTheme="minorHAnsi"/>
          <w:sz w:val="22"/>
          <w:szCs w:val="22"/>
        </w:rPr>
        <w:tab/>
        <w:t xml:space="preserve">Any </w:t>
      </w:r>
      <w:r w:rsidR="0097326B">
        <w:rPr>
          <w:rFonts w:asciiTheme="minorHAnsi" w:hAnsiTheme="minorHAnsi"/>
          <w:sz w:val="22"/>
          <w:szCs w:val="22"/>
        </w:rPr>
        <w:t>CA’s</w:t>
      </w:r>
      <w:r w:rsidRPr="00150D66">
        <w:rPr>
          <w:rFonts w:asciiTheme="minorHAnsi" w:hAnsiTheme="minorHAnsi"/>
          <w:sz w:val="22"/>
          <w:szCs w:val="22"/>
        </w:rPr>
        <w:t xml:space="preserve"> planned or implemented to </w:t>
      </w:r>
      <w:r>
        <w:rPr>
          <w:rFonts w:asciiTheme="minorHAnsi" w:hAnsiTheme="minorHAnsi"/>
          <w:sz w:val="22"/>
          <w:szCs w:val="22"/>
        </w:rPr>
        <w:t xml:space="preserve">eliminate the causes of actual </w:t>
      </w:r>
      <w:r w:rsidRPr="00150D66">
        <w:rPr>
          <w:rFonts w:asciiTheme="minorHAnsi" w:hAnsiTheme="minorHAnsi"/>
          <w:sz w:val="22"/>
          <w:szCs w:val="22"/>
        </w:rPr>
        <w:t xml:space="preserve">or potential nonconformities shall be </w:t>
      </w:r>
      <w:r w:rsidR="00E20E89">
        <w:rPr>
          <w:rFonts w:asciiTheme="minorHAnsi" w:hAnsiTheme="minorHAnsi"/>
          <w:sz w:val="22"/>
          <w:szCs w:val="22"/>
        </w:rPr>
        <w:t>drawn up with a Risk Assessment conducted and the appropriate controls put into place.</w:t>
      </w:r>
    </w:p>
    <w:p w14:paraId="432D662F" w14:textId="6C07A124" w:rsidR="007C6598" w:rsidRPr="00150D66" w:rsidRDefault="007C6598" w:rsidP="007C6598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</w:t>
      </w:r>
      <w:r w:rsidR="004D6F5D">
        <w:rPr>
          <w:rFonts w:asciiTheme="minorHAnsi" w:hAnsiTheme="minorHAnsi"/>
          <w:sz w:val="22"/>
          <w:szCs w:val="22"/>
        </w:rPr>
        <w:t>2.2</w:t>
      </w:r>
      <w:r>
        <w:rPr>
          <w:rFonts w:asciiTheme="minorHAnsi" w:hAnsiTheme="minorHAnsi"/>
          <w:sz w:val="22"/>
          <w:szCs w:val="22"/>
        </w:rPr>
        <w:tab/>
        <w:t>The hierarchy of controls will be used when determining any corrective action (Elimination, Substitution, Engineering, Administra</w:t>
      </w:r>
      <w:r w:rsidR="00D94D9F">
        <w:rPr>
          <w:rFonts w:asciiTheme="minorHAnsi" w:hAnsiTheme="minorHAnsi"/>
          <w:sz w:val="22"/>
          <w:szCs w:val="22"/>
        </w:rPr>
        <w:t>tive and PPE as the last line of defence).</w:t>
      </w:r>
    </w:p>
    <w:p w14:paraId="4D3A5827" w14:textId="23B5886A" w:rsidR="006E33FB" w:rsidRDefault="0097326B" w:rsidP="006E33FB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3.</w:t>
      </w:r>
      <w:r w:rsidR="004D6F5D">
        <w:rPr>
          <w:rFonts w:asciiTheme="minorHAnsi" w:hAnsiTheme="minorHAnsi"/>
          <w:sz w:val="22"/>
          <w:szCs w:val="22"/>
        </w:rPr>
        <w:t>2.3</w:t>
      </w:r>
      <w:r>
        <w:rPr>
          <w:rFonts w:asciiTheme="minorHAnsi" w:hAnsiTheme="minorHAnsi"/>
          <w:sz w:val="22"/>
          <w:szCs w:val="22"/>
        </w:rPr>
        <w:tab/>
        <w:t>The Corrective Actions will be drawn up and discussed with relevant HOD’s</w:t>
      </w:r>
      <w:r w:rsidR="00E20E89">
        <w:rPr>
          <w:rFonts w:asciiTheme="minorHAnsi" w:hAnsiTheme="minorHAnsi"/>
          <w:sz w:val="22"/>
          <w:szCs w:val="22"/>
        </w:rPr>
        <w:t>.</w:t>
      </w:r>
    </w:p>
    <w:p w14:paraId="338DE24E" w14:textId="5D1C5CFD" w:rsidR="002D5545" w:rsidRDefault="002D5545" w:rsidP="003C119A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3.2.4</w:t>
      </w:r>
      <w:r>
        <w:rPr>
          <w:rFonts w:asciiTheme="minorHAnsi" w:hAnsiTheme="minorHAnsi"/>
          <w:sz w:val="22"/>
          <w:szCs w:val="22"/>
        </w:rPr>
        <w:tab/>
        <w:t xml:space="preserve">A review of the effectiveness of the effectiveness of the Corrective Action will be done at a period determined.by the HOD as appropriate for the action taken. Dependant on this review, the Corrective Action / Non-Conformance Report </w:t>
      </w:r>
      <w:r w:rsidR="00E20E89">
        <w:rPr>
          <w:rFonts w:asciiTheme="minorHAnsi" w:hAnsiTheme="minorHAnsi"/>
          <w:sz w:val="22"/>
          <w:szCs w:val="22"/>
        </w:rPr>
        <w:t>will</w:t>
      </w:r>
      <w:r>
        <w:rPr>
          <w:rFonts w:asciiTheme="minorHAnsi" w:hAnsiTheme="minorHAnsi"/>
          <w:sz w:val="22"/>
          <w:szCs w:val="22"/>
        </w:rPr>
        <w:t xml:space="preserve"> then be said to be closed.</w:t>
      </w:r>
    </w:p>
    <w:p w14:paraId="64110048" w14:textId="063F16CA" w:rsidR="004D6F5D" w:rsidRDefault="002D5545" w:rsidP="00E20E89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3.2.5</w:t>
      </w:r>
      <w:r>
        <w:rPr>
          <w:rFonts w:asciiTheme="minorHAnsi" w:hAnsiTheme="minorHAnsi"/>
          <w:sz w:val="22"/>
          <w:szCs w:val="22"/>
        </w:rPr>
        <w:tab/>
        <w:t>The person responsible for the CA will update the Safety Department accordingly to ensure this is documented up until the point of closure.</w:t>
      </w:r>
    </w:p>
    <w:p w14:paraId="3EDBED8B" w14:textId="77777777" w:rsidR="00E20E89" w:rsidRDefault="00E20E89" w:rsidP="00E20E89">
      <w:pPr>
        <w:spacing w:line="360" w:lineRule="auto"/>
        <w:ind w:left="720"/>
        <w:rPr>
          <w:rFonts w:asciiTheme="minorHAnsi" w:hAnsiTheme="minorHAnsi"/>
          <w:sz w:val="22"/>
          <w:szCs w:val="22"/>
        </w:rPr>
      </w:pPr>
    </w:p>
    <w:p w14:paraId="159BC50F" w14:textId="48A89F84" w:rsidR="004D6F5D" w:rsidRDefault="004D6F5D" w:rsidP="004D6F5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</w:t>
      </w:r>
      <w:r>
        <w:rPr>
          <w:rFonts w:asciiTheme="minorHAnsi" w:hAnsiTheme="minorHAnsi"/>
          <w:sz w:val="22"/>
          <w:szCs w:val="22"/>
        </w:rPr>
        <w:tab/>
        <w:t>Responsibility</w:t>
      </w:r>
    </w:p>
    <w:p w14:paraId="5ED80276" w14:textId="4BE4708E" w:rsidR="004D6F5D" w:rsidRDefault="004D6F5D" w:rsidP="004D6F5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safety department is to ensure that all Health and Safety corrective actions are recorded on the applicable form, Document HSE-FOR-10.2 Corrective Action</w:t>
      </w:r>
      <w:r w:rsidR="00E20E89">
        <w:rPr>
          <w:rFonts w:asciiTheme="minorHAnsi" w:hAnsiTheme="minorHAnsi"/>
          <w:sz w:val="22"/>
          <w:szCs w:val="22"/>
        </w:rPr>
        <w:t>.</w:t>
      </w:r>
    </w:p>
    <w:p w14:paraId="69D23C8B" w14:textId="0B520F38" w:rsidR="00C02B85" w:rsidRDefault="004D6F5D" w:rsidP="004D6F5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Respective Heads of Department are responsible for the implementation of CA’s and the closure of any non-conformance</w:t>
      </w:r>
      <w:r w:rsidR="00C02B85">
        <w:rPr>
          <w:rFonts w:asciiTheme="minorHAnsi" w:hAnsiTheme="minorHAnsi"/>
          <w:sz w:val="22"/>
          <w:szCs w:val="22"/>
        </w:rPr>
        <w:t>s.</w:t>
      </w:r>
    </w:p>
    <w:p w14:paraId="661E96BB" w14:textId="00B5D1F2" w:rsidR="00A47A36" w:rsidRDefault="00A47A36" w:rsidP="004D6F5D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5A43E5D0" w14:textId="60F6179F" w:rsidR="00A47A36" w:rsidRDefault="00A47A36" w:rsidP="004D6F5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</w:t>
      </w:r>
      <w:r>
        <w:rPr>
          <w:rFonts w:asciiTheme="minorHAnsi" w:hAnsiTheme="minorHAnsi"/>
          <w:sz w:val="22"/>
          <w:szCs w:val="22"/>
        </w:rPr>
        <w:tab/>
        <w:t>Implementation</w:t>
      </w:r>
    </w:p>
    <w:p w14:paraId="68B28C01" w14:textId="77777777" w:rsidR="00A47A36" w:rsidRDefault="00A47A36" w:rsidP="00A47A36">
      <w:pPr>
        <w:ind w:left="720" w:right="44" w:firstLine="66"/>
        <w:rPr>
          <w:rFonts w:asciiTheme="minorHAnsi" w:hAnsiTheme="minorHAnsi"/>
          <w:sz w:val="22"/>
          <w:szCs w:val="22"/>
        </w:rPr>
      </w:pPr>
      <w:r w:rsidRPr="000D4541">
        <w:rPr>
          <w:rFonts w:asciiTheme="minorHAnsi" w:hAnsiTheme="minorHAnsi"/>
          <w:sz w:val="22"/>
          <w:szCs w:val="22"/>
        </w:rPr>
        <w:t>This procedure takes effect immediately from date of issue.</w:t>
      </w:r>
    </w:p>
    <w:p w14:paraId="5BF51171" w14:textId="59B0A4E3" w:rsidR="00A47A36" w:rsidRDefault="00A47A36" w:rsidP="00A47A36">
      <w:pPr>
        <w:spacing w:line="360" w:lineRule="auto"/>
        <w:rPr>
          <w:rFonts w:asciiTheme="minorHAnsi" w:hAnsiTheme="minorHAnsi"/>
          <w:sz w:val="22"/>
          <w:szCs w:val="22"/>
        </w:rPr>
      </w:pPr>
    </w:p>
    <w:sectPr w:rsidR="00A47A36" w:rsidSect="00CA2466">
      <w:headerReference w:type="default" r:id="rId7"/>
      <w:pgSz w:w="11906" w:h="16838"/>
      <w:pgMar w:top="1440" w:right="849" w:bottom="709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CFBE0" w14:textId="77777777" w:rsidR="007A04E7" w:rsidRDefault="007A04E7" w:rsidP="00965681">
      <w:r>
        <w:separator/>
      </w:r>
    </w:p>
  </w:endnote>
  <w:endnote w:type="continuationSeparator" w:id="0">
    <w:p w14:paraId="044DC9DD" w14:textId="77777777" w:rsidR="007A04E7" w:rsidRDefault="007A04E7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71E87" w14:textId="77777777" w:rsidR="007A04E7" w:rsidRDefault="007A04E7" w:rsidP="00965681">
      <w:r>
        <w:separator/>
      </w:r>
    </w:p>
  </w:footnote>
  <w:footnote w:type="continuationSeparator" w:id="0">
    <w:p w14:paraId="70AE65C8" w14:textId="77777777" w:rsidR="007A04E7" w:rsidRDefault="007A04E7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79F1" w14:textId="1DE4D112" w:rsidR="00A47A36" w:rsidRDefault="00A47A36" w:rsidP="00A47A36">
    <w:pPr>
      <w:pStyle w:val="Header"/>
      <w:rPr>
        <w:b/>
      </w:rPr>
    </w:pPr>
    <w:bookmarkStart w:id="14" w:name="_Hlk14688959"/>
    <w:r w:rsidRPr="0092752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A360B56" wp14:editId="0A982F0F">
          <wp:simplePos x="0" y="0"/>
          <wp:positionH relativeFrom="column">
            <wp:posOffset>-47625</wp:posOffset>
          </wp:positionH>
          <wp:positionV relativeFrom="topMargin">
            <wp:posOffset>408940</wp:posOffset>
          </wp:positionV>
          <wp:extent cx="457200" cy="495300"/>
          <wp:effectExtent l="0" t="0" r="0" b="0"/>
          <wp:wrapSquare wrapText="bothSides"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D3701">
      <w:rPr>
        <w:rFonts w:ascii="Rockwell Extra Bold" w:hAnsi="Rockwell Extra Bold"/>
        <w:b/>
        <w:sz w:val="32"/>
        <w:szCs w:val="32"/>
      </w:rPr>
      <w:t xml:space="preserve">         </w:t>
    </w:r>
    <w:r w:rsidRPr="001F6117">
      <w:rPr>
        <w:rFonts w:ascii="Rockwell Extra Bold" w:hAnsi="Rockwell Extra Bold"/>
        <w:b/>
        <w:sz w:val="32"/>
        <w:szCs w:val="32"/>
      </w:rPr>
      <w:t xml:space="preserve">TITAN DRILLING </w:t>
    </w:r>
  </w:p>
  <w:bookmarkEnd w:id="14"/>
  <w:p w14:paraId="652DB636" w14:textId="1B243AFA" w:rsidR="00DB313E" w:rsidRDefault="00DB313E" w:rsidP="00CC601A">
    <w:pPr>
      <w:pStyle w:val="Header"/>
      <w:tabs>
        <w:tab w:val="clear" w:pos="9026"/>
        <w:tab w:val="right" w:pos="8505"/>
      </w:tabs>
      <w:ind w:right="567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6757" w:tblpY="-903"/>
      <w:tblW w:w="4740" w:type="dxa"/>
      <w:tblLook w:val="01E0" w:firstRow="1" w:lastRow="1" w:firstColumn="1" w:lastColumn="1" w:noHBand="0" w:noVBand="0"/>
    </w:tblPr>
    <w:tblGrid>
      <w:gridCol w:w="1638"/>
      <w:gridCol w:w="3102"/>
    </w:tblGrid>
    <w:tr w:rsidR="00DB313E" w14:paraId="48767025" w14:textId="77777777" w:rsidTr="00CC601A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B4129B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3A87BF" w14:textId="3540FE26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A47A36">
            <w:rPr>
              <w:rFonts w:asciiTheme="minorHAnsi" w:hAnsiTheme="minorHAnsi" w:cs="Arial"/>
              <w:sz w:val="16"/>
              <w:szCs w:val="16"/>
            </w:rPr>
            <w:t xml:space="preserve">PRO-10.2 </w:t>
          </w:r>
          <w:r w:rsidR="00FB3E9D" w:rsidRPr="00FB3E9D">
            <w:rPr>
              <w:rFonts w:asciiTheme="minorHAnsi" w:hAnsiTheme="minorHAnsi" w:cs="Arial"/>
              <w:sz w:val="16"/>
              <w:szCs w:val="16"/>
            </w:rPr>
            <w:t>Non-Conformity Corrective and Preventative Action</w:t>
          </w:r>
        </w:p>
      </w:tc>
    </w:tr>
    <w:tr w:rsidR="00CA2466" w14:paraId="1403F2C3" w14:textId="77777777" w:rsidTr="00CC601A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469726" w14:textId="7F3794BF" w:rsidR="00CA2466" w:rsidRDefault="00CA2466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216A9D" w14:textId="66490792" w:rsidR="00CA2466" w:rsidRDefault="00CA2466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HSE-0</w:t>
          </w:r>
          <w:r w:rsidR="00A47A36">
            <w:rPr>
              <w:rFonts w:asciiTheme="minorHAnsi" w:hAnsiTheme="minorHAnsi" w:cs="Arial"/>
              <w:sz w:val="16"/>
              <w:szCs w:val="16"/>
            </w:rPr>
            <w:t>14</w:t>
          </w:r>
        </w:p>
      </w:tc>
    </w:tr>
    <w:tr w:rsidR="00DB313E" w14:paraId="17B52A66" w14:textId="77777777" w:rsidTr="00CC601A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B91968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21055B8" w14:textId="3F2CFCC5" w:rsidR="00DB313E" w:rsidRDefault="00E20E89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16</w:t>
          </w:r>
          <w:r w:rsidR="002D5545">
            <w:rPr>
              <w:rFonts w:asciiTheme="minorHAnsi" w:hAnsiTheme="minorHAnsi" w:cs="Arial"/>
              <w:sz w:val="16"/>
              <w:szCs w:val="16"/>
            </w:rPr>
            <w:t>/05/202</w:t>
          </w:r>
          <w:r>
            <w:rPr>
              <w:rFonts w:asciiTheme="minorHAnsi" w:hAnsiTheme="minorHAnsi" w:cs="Arial"/>
              <w:sz w:val="16"/>
              <w:szCs w:val="16"/>
            </w:rPr>
            <w:t>3</w:t>
          </w:r>
        </w:p>
      </w:tc>
    </w:tr>
    <w:tr w:rsidR="00DB313E" w14:paraId="59AEE4F3" w14:textId="77777777" w:rsidTr="00CC601A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28382A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FF6412" w14:textId="1965D608" w:rsidR="00DB313E" w:rsidRDefault="00E20E89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4</w:t>
          </w:r>
        </w:p>
      </w:tc>
    </w:tr>
    <w:tr w:rsidR="00DB313E" w14:paraId="7B0581DC" w14:textId="77777777" w:rsidTr="00CC601A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921306" w14:textId="77777777" w:rsidR="00DB313E" w:rsidRDefault="00DB313E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31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F0915D" w14:textId="2B928B6A" w:rsidR="00DB313E" w:rsidRDefault="002D5545" w:rsidP="00CC601A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HSM</w:t>
          </w:r>
        </w:p>
      </w:tc>
    </w:tr>
  </w:tbl>
  <w:p w14:paraId="1D53D67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3457BC0C" w14:textId="7020DF4C" w:rsidR="00965681" w:rsidRDefault="00965681">
    <w:pPr>
      <w:pStyle w:val="Header"/>
    </w:pPr>
  </w:p>
  <w:p w14:paraId="38236AA2" w14:textId="41BEA4CA" w:rsidR="00CA2466" w:rsidRDefault="00CA2466">
    <w:pPr>
      <w:pStyle w:val="Header"/>
    </w:pPr>
  </w:p>
  <w:p w14:paraId="49C4AE5A" w14:textId="77777777" w:rsidR="00CA2466" w:rsidRDefault="00CA24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95E81"/>
    <w:multiLevelType w:val="hybridMultilevel"/>
    <w:tmpl w:val="D83C14A8"/>
    <w:lvl w:ilvl="0" w:tplc="09B255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B15CD"/>
    <w:multiLevelType w:val="multilevel"/>
    <w:tmpl w:val="C524A0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693A9E"/>
    <w:multiLevelType w:val="hybridMultilevel"/>
    <w:tmpl w:val="1C7AD0E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E2CF5"/>
    <w:multiLevelType w:val="hybridMultilevel"/>
    <w:tmpl w:val="A7420420"/>
    <w:lvl w:ilvl="0" w:tplc="222AF1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24DBA"/>
    <w:multiLevelType w:val="hybridMultilevel"/>
    <w:tmpl w:val="1FC056EE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6167123">
    <w:abstractNumId w:val="26"/>
  </w:num>
  <w:num w:numId="2" w16cid:durableId="804003439">
    <w:abstractNumId w:val="27"/>
  </w:num>
  <w:num w:numId="3" w16cid:durableId="318967508">
    <w:abstractNumId w:val="29"/>
  </w:num>
  <w:num w:numId="4" w16cid:durableId="982739540">
    <w:abstractNumId w:val="22"/>
  </w:num>
  <w:num w:numId="5" w16cid:durableId="2142112568">
    <w:abstractNumId w:val="17"/>
  </w:num>
  <w:num w:numId="6" w16cid:durableId="856582148">
    <w:abstractNumId w:val="18"/>
  </w:num>
  <w:num w:numId="7" w16cid:durableId="135995212">
    <w:abstractNumId w:val="23"/>
  </w:num>
  <w:num w:numId="8" w16cid:durableId="1580362786">
    <w:abstractNumId w:val="19"/>
  </w:num>
  <w:num w:numId="9" w16cid:durableId="1887373606">
    <w:abstractNumId w:val="6"/>
  </w:num>
  <w:num w:numId="10" w16cid:durableId="129322696">
    <w:abstractNumId w:val="0"/>
  </w:num>
  <w:num w:numId="11" w16cid:durableId="2083134287">
    <w:abstractNumId w:val="10"/>
  </w:num>
  <w:num w:numId="12" w16cid:durableId="712269745">
    <w:abstractNumId w:val="1"/>
  </w:num>
  <w:num w:numId="13" w16cid:durableId="940258244">
    <w:abstractNumId w:val="2"/>
  </w:num>
  <w:num w:numId="14" w16cid:durableId="287127180">
    <w:abstractNumId w:val="11"/>
  </w:num>
  <w:num w:numId="15" w16cid:durableId="549994282">
    <w:abstractNumId w:val="25"/>
  </w:num>
  <w:num w:numId="16" w16cid:durableId="657614753">
    <w:abstractNumId w:val="16"/>
  </w:num>
  <w:num w:numId="17" w16cid:durableId="199899617">
    <w:abstractNumId w:val="20"/>
  </w:num>
  <w:num w:numId="18" w16cid:durableId="238829466">
    <w:abstractNumId w:val="8"/>
  </w:num>
  <w:num w:numId="19" w16cid:durableId="406927598">
    <w:abstractNumId w:val="4"/>
  </w:num>
  <w:num w:numId="20" w16cid:durableId="336928601">
    <w:abstractNumId w:val="12"/>
  </w:num>
  <w:num w:numId="21" w16cid:durableId="721172338">
    <w:abstractNumId w:val="28"/>
  </w:num>
  <w:num w:numId="22" w16cid:durableId="799224478">
    <w:abstractNumId w:val="30"/>
  </w:num>
  <w:num w:numId="23" w16cid:durableId="415325023">
    <w:abstractNumId w:val="5"/>
  </w:num>
  <w:num w:numId="24" w16cid:durableId="1108431170">
    <w:abstractNumId w:val="15"/>
  </w:num>
  <w:num w:numId="25" w16cid:durableId="1547140453">
    <w:abstractNumId w:val="13"/>
  </w:num>
  <w:num w:numId="26" w16cid:durableId="683942745">
    <w:abstractNumId w:val="14"/>
  </w:num>
  <w:num w:numId="27" w16cid:durableId="114375664">
    <w:abstractNumId w:val="21"/>
  </w:num>
  <w:num w:numId="28" w16cid:durableId="792868409">
    <w:abstractNumId w:val="3"/>
  </w:num>
  <w:num w:numId="29" w16cid:durableId="295113454">
    <w:abstractNumId w:val="7"/>
  </w:num>
  <w:num w:numId="30" w16cid:durableId="588317162">
    <w:abstractNumId w:val="9"/>
  </w:num>
  <w:num w:numId="31" w16cid:durableId="7830429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440CA"/>
    <w:rsid w:val="000910EE"/>
    <w:rsid w:val="00096429"/>
    <w:rsid w:val="000C45BC"/>
    <w:rsid w:val="000E268E"/>
    <w:rsid w:val="000E4DF8"/>
    <w:rsid w:val="000F23B1"/>
    <w:rsid w:val="0011223F"/>
    <w:rsid w:val="00165C10"/>
    <w:rsid w:val="00180B95"/>
    <w:rsid w:val="00232F6D"/>
    <w:rsid w:val="002D5545"/>
    <w:rsid w:val="003C0190"/>
    <w:rsid w:val="003C119A"/>
    <w:rsid w:val="004146EA"/>
    <w:rsid w:val="0047661A"/>
    <w:rsid w:val="00497105"/>
    <w:rsid w:val="004C2499"/>
    <w:rsid w:val="004D6F5D"/>
    <w:rsid w:val="005C6ED4"/>
    <w:rsid w:val="005D785A"/>
    <w:rsid w:val="005F5DDA"/>
    <w:rsid w:val="006377FD"/>
    <w:rsid w:val="00646C88"/>
    <w:rsid w:val="00667469"/>
    <w:rsid w:val="00672A9F"/>
    <w:rsid w:val="006841A3"/>
    <w:rsid w:val="006B7CA2"/>
    <w:rsid w:val="006E33FB"/>
    <w:rsid w:val="0071396C"/>
    <w:rsid w:val="00746012"/>
    <w:rsid w:val="007476D6"/>
    <w:rsid w:val="007A04E7"/>
    <w:rsid w:val="007A2DBD"/>
    <w:rsid w:val="007C6598"/>
    <w:rsid w:val="007D7C45"/>
    <w:rsid w:val="0083631C"/>
    <w:rsid w:val="00845668"/>
    <w:rsid w:val="008D3701"/>
    <w:rsid w:val="00965681"/>
    <w:rsid w:val="0097326B"/>
    <w:rsid w:val="00977423"/>
    <w:rsid w:val="00992271"/>
    <w:rsid w:val="009D44D7"/>
    <w:rsid w:val="00A2563E"/>
    <w:rsid w:val="00A30E99"/>
    <w:rsid w:val="00A40C08"/>
    <w:rsid w:val="00A47A36"/>
    <w:rsid w:val="00AB595B"/>
    <w:rsid w:val="00AB69F9"/>
    <w:rsid w:val="00B140BC"/>
    <w:rsid w:val="00B45E0D"/>
    <w:rsid w:val="00B52302"/>
    <w:rsid w:val="00B74E00"/>
    <w:rsid w:val="00BF09BB"/>
    <w:rsid w:val="00BF23F6"/>
    <w:rsid w:val="00C02B85"/>
    <w:rsid w:val="00C3412A"/>
    <w:rsid w:val="00C61A03"/>
    <w:rsid w:val="00CA2466"/>
    <w:rsid w:val="00CA6DE4"/>
    <w:rsid w:val="00CC601A"/>
    <w:rsid w:val="00CE0E8B"/>
    <w:rsid w:val="00D41CC3"/>
    <w:rsid w:val="00D94D9F"/>
    <w:rsid w:val="00DA79FE"/>
    <w:rsid w:val="00DB313E"/>
    <w:rsid w:val="00DD7F9A"/>
    <w:rsid w:val="00E20E89"/>
    <w:rsid w:val="00E608E8"/>
    <w:rsid w:val="00EA1454"/>
    <w:rsid w:val="00EB55EA"/>
    <w:rsid w:val="00F722A3"/>
    <w:rsid w:val="00FA1637"/>
    <w:rsid w:val="00FB3E9D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751AD"/>
  <w15:docId w15:val="{A4C2E08D-A2AE-4A69-B3FD-B7D498065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7C6598"/>
    <w:pPr>
      <w:numPr>
        <w:numId w:val="29"/>
      </w:numPr>
      <w:ind w:right="44"/>
      <w:outlineLvl w:val="0"/>
    </w:pPr>
    <w:rPr>
      <w:rFonts w:ascii="Franklin Gothic Book" w:hAnsi="Franklin Gothic Book"/>
      <w:b/>
      <w:i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7C6598"/>
    <w:pPr>
      <w:autoSpaceDE w:val="0"/>
      <w:autoSpaceDN w:val="0"/>
      <w:adjustRightInd w:val="0"/>
      <w:ind w:left="360"/>
      <w:outlineLvl w:val="1"/>
    </w:pPr>
    <w:rPr>
      <w:rFonts w:ascii="Arial,Bold" w:hAnsi="Arial,Bold" w:cs="Arial,Bold"/>
      <w:b/>
      <w:bCs/>
      <w:sz w:val="19"/>
      <w:szCs w:val="19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rsid w:val="007C6598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7C6598"/>
    <w:rPr>
      <w:rFonts w:ascii="Arial,Bold" w:eastAsia="Times New Roman" w:hAnsi="Arial,Bold" w:cs="Arial,Bold"/>
      <w:b/>
      <w:bCs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16</cp:revision>
  <cp:lastPrinted>2014-02-24T14:39:00Z</cp:lastPrinted>
  <dcterms:created xsi:type="dcterms:W3CDTF">2019-07-13T13:03:00Z</dcterms:created>
  <dcterms:modified xsi:type="dcterms:W3CDTF">2023-05-16T13:11:00Z</dcterms:modified>
</cp:coreProperties>
</file>